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149BB"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xml:space="preserve">From the very beginning of the Russian invasion of Ukraine, the Lithuanian Railways group of companies, in order not to finance hostile states and to eliminate the threat to the national security interests of the Republic of Lithuania, has applied a strict policy and excludes from purchases* all companies related to the aggressor countries and the goods produced in them. </w:t>
      </w:r>
    </w:p>
    <w:p w14:paraId="69463EEE"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xml:space="preserve">We invite suppliers to actively cooperate in contributing to the implementation of the goal of national security and non-financing of hostile states and to choose their partners responsibly – the persons used for the execution of contracts, the goods offered, their manufacturers, the places of provision of services, to </w:t>
      </w:r>
      <w:proofErr w:type="spellStart"/>
      <w:r>
        <w:rPr>
          <w:rFonts w:ascii="Arial" w:hAnsi="Arial" w:cs="Arial"/>
          <w:color w:val="000000"/>
          <w:sz w:val="22"/>
          <w:szCs w:val="22"/>
          <w:lang w:val="en-GB"/>
        </w:rPr>
        <w:t>analyze</w:t>
      </w:r>
      <w:proofErr w:type="spellEnd"/>
      <w:r>
        <w:rPr>
          <w:rFonts w:ascii="Arial" w:hAnsi="Arial" w:cs="Arial"/>
          <w:color w:val="000000"/>
          <w:sz w:val="22"/>
          <w:szCs w:val="22"/>
          <w:lang w:val="en-GB"/>
        </w:rPr>
        <w:t xml:space="preserve"> the data of the persons controlling the persons involved, ensuring the absence of any links with the Russian Federation, the Republic of Belarus, the territories of Crimea, Transnistria, the territories of Abkhazia and South Ossetia.  </w:t>
      </w:r>
    </w:p>
    <w:p w14:paraId="46E932E9"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We ask suppliers to ensure that they are aware of the entire supply chain and:</w:t>
      </w:r>
    </w:p>
    <w:p w14:paraId="7B52F78C"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(1) provide, when filling in the tender form and its annexes, complete, reliable and correct information about the supplier, the members of the supplier's group, the sub-contractors involved, the economic entities whose capacities are relied on, the producers and the persons controlling them, and their countries of registration/country of habitual residence and their nationalities;</w:t>
      </w:r>
    </w:p>
    <w:p w14:paraId="38EFAD12"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(2) read carefully and responsibly and accompany the offer with a supplier's declaration of compliance with national security requirements. The lines and/or provisions of the declaration form cannot be removed, nor can additional lines and/or provisions be added, or other changes are made.</w:t>
      </w:r>
    </w:p>
    <w:p w14:paraId="5DCF6514" w14:textId="77777777" w:rsidR="00934A21" w:rsidRDefault="00934A21">
      <w:pPr>
        <w:pStyle w:val="prastasiniatinklio"/>
        <w:spacing w:before="120" w:after="0"/>
        <w:jc w:val="both"/>
        <w:rPr>
          <w:rFonts w:ascii="Arial" w:hAnsi="Arial" w:cs="Arial"/>
          <w:color w:val="000000"/>
          <w:sz w:val="22"/>
          <w:szCs w:val="22"/>
          <w:lang w:val="en-GB"/>
        </w:rPr>
      </w:pPr>
    </w:p>
    <w:p w14:paraId="78658C6D" w14:textId="77777777" w:rsidR="00934A21" w:rsidRDefault="008B4F10">
      <w:pPr>
        <w:pStyle w:val="prastasiniatinklio"/>
        <w:spacing w:before="120" w:after="0"/>
        <w:jc w:val="both"/>
      </w:pPr>
      <w:r>
        <w:rPr>
          <w:rStyle w:val="Numatytasispastraiposriftas"/>
          <w:rFonts w:ascii="Arial" w:hAnsi="Arial" w:cs="Arial"/>
          <w:color w:val="000000"/>
          <w:sz w:val="22"/>
          <w:szCs w:val="22"/>
          <w:lang w:val="en-GB"/>
        </w:rPr>
        <w:t xml:space="preserve">Please note that after assessing the actual situations and risks, when making purchases, we ask you not only to confirm the absence of links with the aggressors parties by submitting the supplier's declaration, but also </w:t>
      </w:r>
      <w:r>
        <w:rPr>
          <w:rStyle w:val="Numatytasispastraiposriftas"/>
          <w:rFonts w:ascii="Arial" w:hAnsi="Arial" w:cs="Arial"/>
          <w:b/>
          <w:bCs/>
          <w:color w:val="000000"/>
          <w:sz w:val="22"/>
          <w:szCs w:val="22"/>
          <w:lang w:val="en-GB"/>
        </w:rPr>
        <w:t>to indicate in the offer form (its annex) the countries and nationalities of the registration / permanent residence of the persons controlling the manufacturer</w:t>
      </w:r>
      <w:r>
        <w:rPr>
          <w:rStyle w:val="Numatytasispastraiposriftas"/>
          <w:rFonts w:ascii="Arial" w:hAnsi="Arial" w:cs="Arial"/>
          <w:color w:val="000000"/>
          <w:sz w:val="22"/>
          <w:szCs w:val="22"/>
          <w:lang w:val="en-GB"/>
        </w:rPr>
        <w:t>**, so please ensure that this information is known to you.</w:t>
      </w:r>
    </w:p>
    <w:p w14:paraId="6AC91B78" w14:textId="77777777" w:rsidR="00934A21" w:rsidRDefault="00934A21">
      <w:pPr>
        <w:pStyle w:val="prastasiniatinklio"/>
        <w:spacing w:before="120" w:after="0"/>
        <w:jc w:val="both"/>
        <w:rPr>
          <w:rFonts w:ascii="Arial" w:hAnsi="Arial" w:cs="Arial"/>
          <w:color w:val="000000"/>
          <w:sz w:val="22"/>
          <w:szCs w:val="22"/>
          <w:lang w:val="en-GB"/>
        </w:rPr>
      </w:pPr>
    </w:p>
    <w:p w14:paraId="402FBDC2"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*The Lithuanian Railways group of companies applies the grounds for rejection of tenders provided for in Article 45(2)(1) of the Law on Public Procurement of the Republic of Lithuania / Article 58(4)(1) of the Law on Procurement of the Republic of Lithuania by contracting entities in the field of water management, energy, transport or postal services by checking:</w:t>
      </w:r>
    </w:p>
    <w:p w14:paraId="028F9C5D"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whether the manufacturer of the goods (including their components, packaging) offered by the supplier, the supplier of the sub-suppliers and the economic entities whose capacities it is relied on, the place of registration of each of them, the country of residence and/or nationality of each of them are not the Russian Federation, the Republic of Belarus, the territories of Crimea, Transnistria, Abkhazia and South Ossetia;</w:t>
      </w:r>
    </w:p>
    <w:p w14:paraId="5A6E49F1"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whether the goods (including their ingredients, packaging) do not originate in the Russian Federation, the Republic of Belarus, the territories of Crimea, Transnistria, Abkhazia and South Ossetia;</w:t>
      </w:r>
    </w:p>
    <w:p w14:paraId="54177832"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whether services are provided not from the territories of the Russian Federation, the Republic of Belarus, the Crimea, Transnistria, Abkhazia and South Ossetia;</w:t>
      </w:r>
    </w:p>
    <w:p w14:paraId="236AF83F"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whether the Government of the Republic of Lithuania, in accordance with the criteria established in the Law on the Protection of Objects Important for National Security, has not adopted a decision confirming that the above-mentioned entities or the transaction to be concluded (concluded) with them does not comply with the interests of national security;</w:t>
      </w:r>
    </w:p>
    <w:p w14:paraId="59C259CF"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whether the Contracting Authority/Contracting Entity does not have information from the competent authorities that the above entities have interests that may pose a threat to national security.</w:t>
      </w:r>
    </w:p>
    <w:p w14:paraId="0FFC3AA3" w14:textId="77777777" w:rsidR="00934A21" w:rsidRDefault="00934A21">
      <w:pPr>
        <w:pStyle w:val="prastasiniatinklio"/>
        <w:spacing w:before="120" w:after="0"/>
        <w:jc w:val="both"/>
        <w:rPr>
          <w:rFonts w:ascii="Arial" w:hAnsi="Arial" w:cs="Arial"/>
          <w:color w:val="000000"/>
          <w:sz w:val="22"/>
          <w:szCs w:val="22"/>
          <w:lang w:val="en-GB"/>
        </w:rPr>
      </w:pPr>
    </w:p>
    <w:p w14:paraId="5A6229EC"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The controlling person is understood as defined  PPL in Article 2(15(1)) / Article 2(4(1)) of the PL: “Controlling person means the owner of an individual enterprise or a legal or natural person who controls another legal entity:</w:t>
      </w:r>
    </w:p>
    <w:p w14:paraId="02EF311C"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1) by holding, directly or indirectly, more than 50% of shares, interests, contributions and/or votes at the meeting of participants of that legal entity, or</w:t>
      </w:r>
    </w:p>
    <w:p w14:paraId="2D3BA1A4"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2) by holding, jointly with other related persons, more than 50% of shares, interests, contributions and/or votes at the meeting of participants of that legal entity and the size of whose holding is not less than 10% of shares, interests, contributions and/or votes at the meeting of participants of that legal entity. Related persons are considered to be:</w:t>
      </w:r>
    </w:p>
    <w:p w14:paraId="63B4D956"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a) in case of being a legal person – persons whose annual financial statements shall be consolidated in accordance with the Law of the Republic of Lithuania on Consolidated Financial Reporting by Groups of Undertakings, or persons whose annual financial statements shall be consolidated in accordance with the legislation implementing the requirements pursuant to Directive 2013/34/EU;</w:t>
      </w:r>
    </w:p>
    <w:p w14:paraId="2C029109" w14:textId="77777777" w:rsidR="00934A21" w:rsidRDefault="008B4F1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b) in the case of being a natural person – spouses, parents and their children (adopted children).”</w:t>
      </w:r>
    </w:p>
    <w:p w14:paraId="7982C31C" w14:textId="77777777" w:rsidR="00934A21" w:rsidRDefault="00934A21">
      <w:pPr>
        <w:pStyle w:val="prastasiniatinklio"/>
        <w:spacing w:before="120" w:after="0"/>
        <w:jc w:val="both"/>
        <w:rPr>
          <w:rFonts w:ascii="Arial" w:hAnsi="Arial" w:cs="Arial"/>
          <w:color w:val="000000"/>
          <w:sz w:val="22"/>
          <w:szCs w:val="22"/>
        </w:rPr>
      </w:pPr>
    </w:p>
    <w:p w14:paraId="2883F5E5" w14:textId="77777777" w:rsidR="00934A21" w:rsidRDefault="00934A21">
      <w:pPr>
        <w:pStyle w:val="prastasis"/>
      </w:pPr>
    </w:p>
    <w:sectPr w:rsidR="00934A21">
      <w:pgSz w:w="11906" w:h="16838"/>
      <w:pgMar w:top="1134" w:right="567"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79302" w14:textId="77777777" w:rsidR="00FB7209" w:rsidRDefault="00FB7209">
      <w:pPr>
        <w:spacing w:after="0" w:line="240" w:lineRule="auto"/>
      </w:pPr>
      <w:r>
        <w:separator/>
      </w:r>
    </w:p>
  </w:endnote>
  <w:endnote w:type="continuationSeparator" w:id="0">
    <w:p w14:paraId="0AB960A8" w14:textId="77777777" w:rsidR="00FB7209" w:rsidRDefault="00FB7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23201" w14:textId="77777777" w:rsidR="00FB7209" w:rsidRDefault="00FB7209">
      <w:pPr>
        <w:spacing w:after="0" w:line="240" w:lineRule="auto"/>
      </w:pPr>
      <w:r>
        <w:rPr>
          <w:color w:val="000000"/>
        </w:rPr>
        <w:separator/>
      </w:r>
    </w:p>
  </w:footnote>
  <w:footnote w:type="continuationSeparator" w:id="0">
    <w:p w14:paraId="1E93C496" w14:textId="77777777" w:rsidR="00FB7209" w:rsidRDefault="00FB720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1296"/>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A21"/>
    <w:rsid w:val="008B4F10"/>
    <w:rsid w:val="00934A21"/>
    <w:rsid w:val="00AF2F0A"/>
    <w:rsid w:val="00C65F59"/>
    <w:rsid w:val="00FB7209"/>
    <w:rsid w:val="409918D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05E12"/>
  <w15:docId w15:val="{E07DE200-B4C3-421C-87C4-846F0C6E9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lt-LT" w:eastAsia="en-US" w:bidi="ar-SA"/>
      </w:rPr>
    </w:rPrDefault>
    <w:pPrDefault>
      <w:pPr>
        <w:autoSpaceDN w:val="0"/>
        <w:spacing w:after="160" w:line="24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
    <w:name w:val="Įprastasis"/>
    <w:pPr>
      <w:suppressAutoHyphens/>
    </w:pPr>
  </w:style>
  <w:style w:type="character" w:customStyle="1" w:styleId="Numatytasispastraiposriftas">
    <w:name w:val="Numatytasis pastraipos šriftas"/>
  </w:style>
  <w:style w:type="paragraph" w:customStyle="1" w:styleId="prastasiniatinklio">
    <w:name w:val="Įprastas (žiniatinklio)"/>
    <w:basedOn w:val="prastasis"/>
    <w:pPr>
      <w:spacing w:before="100" w:after="100" w:line="240" w:lineRule="auto"/>
    </w:pPr>
    <w:rPr>
      <w:rFonts w:ascii="Times New Roman" w:eastAsia="Times New Roman" w:hAnsi="Times New Roman"/>
      <w:kern w:val="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dc1b23f4bcbc02e872e736c16caaa467">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4bfb27c41ea33149ced04bc5d7127bb"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4CA599-9256-426C-A389-4C83723B4813}">
  <ds:schemaRefs>
    <ds:schemaRef ds:uri="http://schemas.microsoft.com/sharepoint/v3/contenttype/forms"/>
  </ds:schemaRefs>
</ds:datastoreItem>
</file>

<file path=customXml/itemProps2.xml><?xml version="1.0" encoding="utf-8"?>
<ds:datastoreItem xmlns:ds="http://schemas.openxmlformats.org/officeDocument/2006/customXml" ds:itemID="{6BBE76C4-106A-4152-8F0D-06CAE4BCD70F}"/>
</file>

<file path=customXml/itemProps3.xml><?xml version="1.0" encoding="utf-8"?>
<ds:datastoreItem xmlns:ds="http://schemas.openxmlformats.org/officeDocument/2006/customXml" ds:itemID="{5926C4F4-AB50-4BF3-9A96-8466FF8B730C}">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758</Words>
  <Characters>4322</Characters>
  <Application>Microsoft Office Word</Application>
  <DocSecurity>0</DocSecurity>
  <Lines>36</Lines>
  <Paragraphs>10</Paragraphs>
  <ScaleCrop>false</ScaleCrop>
  <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dc:description/>
  <cp:lastModifiedBy>Ingrida Riabovienė</cp:lastModifiedBy>
  <cp:revision>3</cp:revision>
  <dcterms:created xsi:type="dcterms:W3CDTF">2025-01-22T07:55:00Z</dcterms:created>
  <dcterms:modified xsi:type="dcterms:W3CDTF">2025-01-22T07:55:00Z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2025-01-22T07:55:06Z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d5e10b9c-b2ac-4d99-91c7-ed76fca1fdbb</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